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9F9B" w14:textId="25756ED3" w:rsidR="007E2162" w:rsidRDefault="007E2162" w:rsidP="007E2162">
      <w:pPr>
        <w:pStyle w:val="Nadpisobsahu"/>
        <w:jc w:val="center"/>
      </w:pPr>
      <w:r>
        <w:t>Příloha č. 3</w:t>
      </w:r>
      <w:r w:rsidR="001853E6">
        <w:t>.</w:t>
      </w:r>
      <w:r>
        <w:t>a, 3</w:t>
      </w:r>
      <w:r w:rsidR="001853E6">
        <w:t>.</w:t>
      </w:r>
      <w:r>
        <w:t>b  Úspory energie – výzva I.</w:t>
      </w:r>
    </w:p>
    <w:p w14:paraId="6F8C8484" w14:textId="622340FD" w:rsidR="0061343A" w:rsidRDefault="00811C92" w:rsidP="007E2162">
      <w:pPr>
        <w:pStyle w:val="Nadpisobsahu"/>
        <w:jc w:val="center"/>
      </w:pPr>
      <w:r w:rsidRPr="00811C92">
        <w:t>3.</w:t>
      </w:r>
      <w:r>
        <w:t>a</w:t>
      </w:r>
      <w:r w:rsidRPr="00811C92">
        <w:t xml:space="preserve"> – </w:t>
      </w:r>
      <w:r w:rsidR="0061343A" w:rsidRPr="007E2162">
        <w:t>Výčet specifických podmínek</w:t>
      </w:r>
      <w:r w:rsidR="00F0004D" w:rsidRPr="007E2162">
        <w:t xml:space="preserve"> programu</w:t>
      </w:r>
      <w:r w:rsidR="0061343A" w:rsidRPr="007E2162">
        <w:t>, ke kterým se bude vyjadřovat energetický specialista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8"/>
        <w:gridCol w:w="4971"/>
        <w:gridCol w:w="2691"/>
      </w:tblGrid>
      <w:tr w:rsidR="00630F96" w:rsidRPr="006361DB" w14:paraId="5D6473E8" w14:textId="77777777" w:rsidTr="00E02CA8">
        <w:trPr>
          <w:trHeight w:val="615"/>
          <w:tblHeader/>
        </w:trPr>
        <w:tc>
          <w:tcPr>
            <w:tcW w:w="6898" w:type="dxa"/>
            <w:shd w:val="clear" w:color="000000" w:fill="BFBFBF"/>
            <w:vAlign w:val="center"/>
            <w:hideMark/>
          </w:tcPr>
          <w:p w14:paraId="082538F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podmínka programu</w:t>
            </w:r>
          </w:p>
        </w:tc>
        <w:tc>
          <w:tcPr>
            <w:tcW w:w="4971" w:type="dxa"/>
            <w:shd w:val="clear" w:color="000000" w:fill="BFBFBF"/>
            <w:vAlign w:val="center"/>
            <w:hideMark/>
          </w:tcPr>
          <w:p w14:paraId="1707E14F" w14:textId="32D861A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Stanovisko energetického specialisty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14:paraId="245B4B4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Splněno (ANO/NE/NERELEVANTNÍ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*1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630F96" w:rsidRPr="006361DB" w14:paraId="69B32563" w14:textId="77777777" w:rsidTr="00E02CA8">
        <w:trPr>
          <w:trHeight w:val="426"/>
        </w:trPr>
        <w:tc>
          <w:tcPr>
            <w:tcW w:w="6898" w:type="dxa"/>
            <w:shd w:val="clear" w:color="auto" w:fill="auto"/>
            <w:vAlign w:val="bottom"/>
            <w:hideMark/>
          </w:tcPr>
          <w:p w14:paraId="71BF6831" w14:textId="3E6B7B47" w:rsidR="006361DB" w:rsidRPr="00C32A99" w:rsidRDefault="00D65B20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5B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rámci Výzvy bude podpořen projekt, který prokáže úsporu energie v konečné spotřebě energie podle tabulky č.3 Analýza užití energie – bilance přínosu projektů uvedené v Příloze č. 3 k vyhlášce č. 141/2021 Sb. </w:t>
            </w:r>
            <w:r w:rsidR="00BF0493" w:rsidRPr="00BF0493">
              <w:rPr>
                <w:rFonts w:ascii="Calibri" w:eastAsia="Times New Roman" w:hAnsi="Calibri" w:cs="Calibri"/>
                <w:color w:val="000000"/>
                <w:lang w:eastAsia="cs-CZ"/>
              </w:rPr>
              <w:t>o energetickém posudku a o údajích vedených v Systému monitoringu spotřeby energie</w:t>
            </w:r>
            <w:r w:rsidR="00E40E11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BF0493" w:rsidRPr="00BF049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65B20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E40E11">
              <w:rPr>
                <w:rFonts w:ascii="Calibri" w:eastAsia="Times New Roman" w:hAnsi="Calibri" w:cs="Calibri"/>
                <w:color w:val="000000"/>
                <w:lang w:eastAsia="cs-CZ"/>
              </w:rPr>
              <w:t> platném znění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570D02A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ACACF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340FEC8" w14:textId="77777777" w:rsidTr="00E02CA8">
        <w:trPr>
          <w:trHeight w:val="1396"/>
        </w:trPr>
        <w:tc>
          <w:tcPr>
            <w:tcW w:w="6898" w:type="dxa"/>
            <w:shd w:val="clear" w:color="auto" w:fill="auto"/>
            <w:vAlign w:val="bottom"/>
            <w:hideMark/>
          </w:tcPr>
          <w:p w14:paraId="18AE3E07" w14:textId="0AF64431" w:rsidR="006361DB" w:rsidRPr="00C32A99" w:rsidRDefault="006361D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Opatření renovace stávajících budov musí splnit minimální úsporu primární energie </w:t>
            </w:r>
            <w:r w:rsidR="00633D02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z neobnovitelných zdrojů</w:t>
            </w:r>
            <w:r w:rsidR="00BF0493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2"/>
            </w:r>
            <w:r w:rsidR="00633D02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ve výši 30</w:t>
            </w:r>
            <w:r w:rsidR="00633D02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% na základě Taxonomie: Nařízení Evropského parlamentu a rady (EU) č. 2020/852 ze dne 18. června 2020 o zřízení rámce pro usnadnění udržitelných investic a o změně nařízení (EU) 2019/2088 a jeho doplnění pokud jde o stanovení technických screeningových kritérií.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F8E5E1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BB5FA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61DAB7AF" w14:textId="77777777" w:rsidTr="00E02CA8">
        <w:trPr>
          <w:trHeight w:val="1132"/>
        </w:trPr>
        <w:tc>
          <w:tcPr>
            <w:tcW w:w="6898" w:type="dxa"/>
            <w:shd w:val="clear" w:color="auto" w:fill="auto"/>
            <w:vAlign w:val="bottom"/>
            <w:hideMark/>
          </w:tcPr>
          <w:p w14:paraId="3F7AF2A8" w14:textId="2DBEA5A9" w:rsidR="006361DB" w:rsidRPr="00C32A99" w:rsidRDefault="006361D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opatření mimo renovace stávající budovy </w:t>
            </w:r>
            <w:r w:rsidR="00633D02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musí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splnit úsporu primární </w:t>
            </w:r>
            <w:r w:rsidR="00633D02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energie z neobnovitelných zdrojů</w:t>
            </w:r>
            <w:r w:rsidR="00BF0493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3"/>
            </w:r>
            <w:r w:rsidR="00633D02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minimálně ve výši 30</w:t>
            </w:r>
            <w:r w:rsidR="005D45AF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% nebo v průměru alespoň 30</w:t>
            </w:r>
            <w:r w:rsidR="004D08F5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% snížení přímých a nepřímých emisí skleníkových plynů v porovnání s předchozími emisemi</w:t>
            </w:r>
            <w:r w:rsidR="00463B6B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základě Nařízení evropského parlamentu a rady (</w:t>
            </w:r>
            <w:r w:rsidR="004D08F5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  <w:r w:rsidR="00463B6B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) 2021/1060 z důvodu započítání podpory této aktivity do plnění cílů v oblasti změny klimatu v plné výši 100</w:t>
            </w:r>
            <w:r w:rsidR="004D08F5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63B6B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ABBF31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AA8C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02C42A9" w14:textId="77777777" w:rsidTr="00E02CA8">
        <w:trPr>
          <w:trHeight w:val="1120"/>
        </w:trPr>
        <w:tc>
          <w:tcPr>
            <w:tcW w:w="6898" w:type="dxa"/>
            <w:shd w:val="clear" w:color="auto" w:fill="auto"/>
            <w:vAlign w:val="bottom"/>
            <w:hideMark/>
          </w:tcPr>
          <w:p w14:paraId="1EC58E0A" w14:textId="718D816B" w:rsidR="006361DB" w:rsidRPr="00C32A99" w:rsidRDefault="006361DB" w:rsidP="00811C9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Pokud jsou absolutní</w:t>
            </w:r>
            <w:r w:rsidR="00123132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4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anebo relativní</w:t>
            </w:r>
            <w:r w:rsidR="00123132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5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emise vyšší než 20 000 tun CO</w:t>
            </w:r>
            <w:r w:rsidRPr="00C32A99">
              <w:rPr>
                <w:rFonts w:ascii="Calibri" w:eastAsia="Times New Roman" w:hAnsi="Calibri" w:cs="Calibri"/>
                <w:color w:val="000000"/>
                <w:vertAlign w:val="subscript"/>
                <w:lang w:eastAsia="cs-CZ"/>
              </w:rPr>
              <w:t xml:space="preserve">2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ekv./rok, tak je nutné stanovit uhlíkovou stopu podle sdělení Evropské komise 2021/C373/01 (Technické pokyny k provádění infrastruktury z hlediska klimatického dopadu v období 2021-2027).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BE6EAD4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B8EA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751A1E5C" w14:textId="77777777" w:rsidTr="00E02CA8">
        <w:trPr>
          <w:trHeight w:val="1837"/>
        </w:trPr>
        <w:tc>
          <w:tcPr>
            <w:tcW w:w="6898" w:type="dxa"/>
            <w:shd w:val="clear" w:color="auto" w:fill="auto"/>
            <w:noWrap/>
            <w:vAlign w:val="center"/>
            <w:hideMark/>
          </w:tcPr>
          <w:p w14:paraId="7722A92A" w14:textId="793456DF" w:rsidR="006361DB" w:rsidRPr="00C32A99" w:rsidRDefault="000315CE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15CE">
              <w:rPr>
                <w:rFonts w:ascii="Calibri" w:eastAsia="Times New Roman" w:hAnsi="Calibri" w:cs="Calibri"/>
                <w:color w:val="000000"/>
                <w:lang w:eastAsia="cs-CZ"/>
              </w:rPr>
              <w:t>Podle § 25 odst. 5 zákona č. 165/2012 Sb., o podporovaných zdrojích energie a o změně některých zákonů ve znění pozdějších předpisů se investiční podpora tepla nevztahuje na solární systémy nebo systémy s tepelnými čerpadly, které</w:t>
            </w:r>
            <w:r w:rsidR="00AE28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0315CE">
              <w:rPr>
                <w:rFonts w:ascii="Calibri" w:eastAsia="Times New Roman" w:hAnsi="Calibri" w:cs="Calibri"/>
                <w:color w:val="000000"/>
                <w:lang w:eastAsia="cs-CZ"/>
              </w:rPr>
              <w:t>by svým provozem zhoršily celkovou průměrnou roční účinnost stávajících účinných soustav zásobování tepelnou energií. Tyto soustavy zásobování tepelnou energií eviduje a způsobem umožňujícím dálkový přístup zveřejňuje Energetický regulační úřad do 30. dubna následujícího roku. V případě částečné náhrady dodávek energií ze SZTE, je možno projekt podpořit pouze se souhlasem vlastníka či provozovatele SZTE.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7C0B3E9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2AAAB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06B957AD" w14:textId="77777777" w:rsidTr="00E02CA8">
        <w:trPr>
          <w:trHeight w:val="1212"/>
        </w:trPr>
        <w:tc>
          <w:tcPr>
            <w:tcW w:w="6898" w:type="dxa"/>
            <w:shd w:val="clear" w:color="auto" w:fill="auto"/>
            <w:vAlign w:val="center"/>
            <w:hideMark/>
          </w:tcPr>
          <w:p w14:paraId="060BB120" w14:textId="67A87E25" w:rsidR="006361DB" w:rsidRPr="00C32A99" w:rsidRDefault="006361D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případě, že výrobna elektřiny z KVET je připojena do přenosové nebo distribuční soustavy nesmí dodat do přenosové nebo distribuční soustavy více než </w:t>
            </w:r>
            <w:r w:rsidR="004D08F5"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20 %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ročního množství elektřiny vyrobené v jím provozované výrobně elektřiny, sníženého o technologickou vlastní spotřebu elektřiny.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0996DC4A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DB72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30C75C1" w14:textId="77777777" w:rsidTr="00E02CA8">
        <w:trPr>
          <w:trHeight w:val="977"/>
        </w:trPr>
        <w:tc>
          <w:tcPr>
            <w:tcW w:w="6898" w:type="dxa"/>
            <w:shd w:val="clear" w:color="auto" w:fill="auto"/>
            <w:vAlign w:val="bottom"/>
            <w:hideMark/>
          </w:tcPr>
          <w:p w14:paraId="4FBAE406" w14:textId="4F36F9A4" w:rsidR="00E66832" w:rsidRPr="00E66832" w:rsidRDefault="006361DB" w:rsidP="00811C9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>S ohledem na nemožnost započítání úspory energie z OZE do plnění směrnice o energetické účinnosti</w:t>
            </w:r>
            <w:r w:rsidR="004C2CE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6"/>
            </w:r>
            <w:r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nutné, aby u projektu zahrnující instalaci fotovoltaických systémů, výše úspory energie z těchto opatření nepřekročila hranici </w:t>
            </w:r>
            <w:r w:rsidR="00D65B20"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>0 %</w:t>
            </w:r>
            <w:r w:rsidR="004C2CEE"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E66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66832"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>Jedná se o velikost podílu u indikátoru povinné</w:t>
            </w:r>
            <w:r w:rsidR="00E66832">
              <w:rPr>
                <w:rFonts w:ascii="Calibri" w:eastAsia="Times New Roman" w:hAnsi="Calibri" w:cs="Calibri"/>
                <w:color w:val="000000"/>
                <w:lang w:eastAsia="cs-CZ"/>
              </w:rPr>
              <w:t>ho</w:t>
            </w:r>
            <w:r w:rsidR="00E66832" w:rsidRPr="00E66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 naplnění 323000 Snížení konečné spotřeby energie u podpořených subjektů</w:t>
            </w:r>
            <w:r w:rsidR="00E668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  <w:p w14:paraId="3F25B04C" w14:textId="446A8C5F" w:rsidR="006361DB" w:rsidRPr="00C32A99" w:rsidRDefault="006361DB" w:rsidP="00182050">
            <w:pPr>
              <w:pStyle w:val="Odstavecseseznamem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71" w:type="dxa"/>
            <w:shd w:val="clear" w:color="auto" w:fill="auto"/>
            <w:vAlign w:val="bottom"/>
            <w:hideMark/>
          </w:tcPr>
          <w:p w14:paraId="23E93804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516B43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5BCB56DB" w14:textId="77777777" w:rsidTr="00E02CA8">
        <w:trPr>
          <w:trHeight w:val="848"/>
        </w:trPr>
        <w:tc>
          <w:tcPr>
            <w:tcW w:w="6898" w:type="dxa"/>
            <w:shd w:val="clear" w:color="auto" w:fill="auto"/>
            <w:vAlign w:val="bottom"/>
          </w:tcPr>
          <w:p w14:paraId="4FD6D8D1" w14:textId="24867303" w:rsidR="00C957F0" w:rsidRPr="00AE2824" w:rsidRDefault="009F2906" w:rsidP="004130B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30B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V případě elektrických tepelných čerpadel </w:t>
            </w:r>
            <w:r w:rsidR="00BD5830" w:rsidRPr="004130B2">
              <w:rPr>
                <w:rFonts w:ascii="Calibri" w:eastAsia="Times New Roman" w:hAnsi="Calibri" w:cs="Calibri"/>
                <w:color w:val="000000"/>
                <w:lang w:eastAsia="cs-CZ"/>
              </w:rPr>
              <w:t>prahová hodnota chladiva: potenciál globálního oteplování</w:t>
            </w:r>
            <w:r w:rsidR="0091520F" w:rsidRPr="004130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časovém horizontu 100 let</w:t>
            </w:r>
            <w:r w:rsidR="00BD5830" w:rsidRPr="004130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nepřesahuje 675</w:t>
            </w:r>
            <w:r w:rsidR="004130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130B2" w:rsidRPr="00AE2824">
              <w:rPr>
                <w:rFonts w:ascii="Calibri" w:eastAsia="Times New Roman" w:hAnsi="Calibri" w:cs="Calibri"/>
                <w:color w:val="FF0000"/>
                <w:u w:val="single"/>
                <w:lang w:eastAsia="cs-CZ"/>
              </w:rPr>
              <w:t>(podmínka se nevztahuje pro dodávku energie, která je určena pouze pro technické systémy budovy podle vyhlášky 264/2020 Sb. o energetické náročnosti, a zároveň pokud je zařízení instalováno v předmětné budově, kde se uskutečňuje dodávka této energie</w:t>
            </w:r>
            <w:r w:rsidR="00065493" w:rsidRPr="00AE2824">
              <w:rPr>
                <w:rFonts w:ascii="Calibri" w:eastAsia="Times New Roman" w:hAnsi="Calibri" w:cs="Calibri"/>
                <w:color w:val="FF0000"/>
                <w:u w:val="single"/>
                <w:lang w:eastAsia="cs-CZ"/>
              </w:rPr>
              <w:t xml:space="preserve"> anebo mimo předmětnou budovu s přímým rozvodem energie pouze do této budovy</w:t>
            </w:r>
            <w:r w:rsidR="004130B2" w:rsidRPr="00AE2824">
              <w:rPr>
                <w:rFonts w:ascii="Calibri" w:eastAsia="Times New Roman" w:hAnsi="Calibri" w:cs="Calibri"/>
                <w:color w:val="FF0000"/>
                <w:u w:val="single"/>
                <w:lang w:eastAsia="cs-CZ"/>
              </w:rPr>
              <w:t>).</w:t>
            </w:r>
          </w:p>
        </w:tc>
        <w:tc>
          <w:tcPr>
            <w:tcW w:w="4971" w:type="dxa"/>
            <w:shd w:val="clear" w:color="auto" w:fill="auto"/>
            <w:vAlign w:val="bottom"/>
          </w:tcPr>
          <w:p w14:paraId="0048BA53" w14:textId="77777777" w:rsidR="00C957F0" w:rsidRPr="006361DB" w:rsidRDefault="00C957F0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20A0F4" w14:textId="77777777" w:rsidR="00C957F0" w:rsidRPr="006361DB" w:rsidRDefault="00C957F0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F2906" w:rsidRPr="006361DB" w14:paraId="5D1BFEC9" w14:textId="77777777" w:rsidTr="00E02CA8">
        <w:trPr>
          <w:trHeight w:val="312"/>
        </w:trPr>
        <w:tc>
          <w:tcPr>
            <w:tcW w:w="6898" w:type="dxa"/>
            <w:shd w:val="clear" w:color="auto" w:fill="auto"/>
            <w:vAlign w:val="bottom"/>
          </w:tcPr>
          <w:p w14:paraId="18D6633E" w14:textId="66CD2DD7" w:rsidR="009F2906" w:rsidRDefault="001C762F" w:rsidP="00811C9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elektrických tepelných čerpadel jsou splněny požadavky </w:t>
            </w:r>
            <w:r w:rsidR="001C78C8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>pro obnovitelnou energii u vytápění a chlazení v souladu se směrnicí (EU) 2018/2001, a pomocných technických zařízení</w:t>
            </w:r>
            <w:r w:rsidR="00E66832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Minimální </w:t>
            </w:r>
            <w:r w:rsidR="00AC79CE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sezonní topný </w:t>
            </w:r>
            <w:r w:rsidR="00E66832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>faktor je požadován ve výši 2,74</w:t>
            </w:r>
            <w:r w:rsidR="00182050" w:rsidRPr="00811C9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71" w:type="dxa"/>
            <w:shd w:val="clear" w:color="auto" w:fill="auto"/>
            <w:vAlign w:val="bottom"/>
          </w:tcPr>
          <w:p w14:paraId="73A9FF56" w14:textId="77777777" w:rsidR="009F2906" w:rsidRPr="006361DB" w:rsidRDefault="009F2906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BB580D3" w14:textId="77777777" w:rsidR="009F2906" w:rsidRPr="006361DB" w:rsidRDefault="009F2906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2DB2BE42" w14:textId="77777777" w:rsidTr="00E02CA8">
        <w:trPr>
          <w:trHeight w:val="1130"/>
        </w:trPr>
        <w:tc>
          <w:tcPr>
            <w:tcW w:w="6898" w:type="dxa"/>
            <w:shd w:val="clear" w:color="auto" w:fill="auto"/>
            <w:vAlign w:val="bottom"/>
            <w:hideMark/>
          </w:tcPr>
          <w:p w14:paraId="600E236F" w14:textId="1CB48F53" w:rsidR="006361DB" w:rsidRPr="00C32A99" w:rsidRDefault="006361DB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Podpořeny budou pouze projekty, které splňují požadavky vyhlášky č. 452/2017 Sb., kterou se mění vyhláška č. 415/2012 Sb., o přípustné úrovni znečišťování a jejím zjišťování a o provedení některých dalších ustanovení o ochraně ovzduší, ve znění pozdějších předpisů.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19724D9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8564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270FA241" w14:textId="77777777" w:rsidTr="00E02CA8">
        <w:trPr>
          <w:trHeight w:val="1130"/>
        </w:trPr>
        <w:tc>
          <w:tcPr>
            <w:tcW w:w="6898" w:type="dxa"/>
            <w:shd w:val="clear" w:color="auto" w:fill="auto"/>
            <w:vAlign w:val="bottom"/>
          </w:tcPr>
          <w:p w14:paraId="6F0B4788" w14:textId="799C6156" w:rsidR="00552BC1" w:rsidRPr="00C32A99" w:rsidRDefault="00CA7830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830">
              <w:rPr>
                <w:rFonts w:ascii="Calibri" w:eastAsia="Times New Roman" w:hAnsi="Calibri" w:cs="Calibri"/>
                <w:color w:val="000000"/>
                <w:lang w:eastAsia="cs-CZ"/>
              </w:rPr>
              <w:t>Pokud nelze při stanovení výchozího stavu spotřeby energie předmětu energetického posudku postupovat dle Přílohy č.3 kapitoly 3 odstavce (1) písmena a), tedy na základě historie spotřeby energie stanovené pro ucelené období alespoň jednoho roku, postupuje se v souladu s touto vyhláškou stanovením referenčního stavu. Referenčním stavem je spotřeba energie budovy stanovená na základě průkazu energetické náročnosti budovy pro stav po realizaci navržených úspor odpovídající 1,2</w:t>
            </w:r>
            <w:r w:rsidR="00D31B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A7830">
              <w:rPr>
                <w:rFonts w:ascii="Calibri" w:eastAsia="Times New Roman" w:hAnsi="Calibri" w:cs="Calibri"/>
                <w:color w:val="000000"/>
                <w:lang w:eastAsia="cs-CZ"/>
              </w:rPr>
              <w:t>x ER - násobku spotřeby energie referenční budovy (pro všechny energetické ukazatele). Typický profil užívání je stanoven podrobně na základě skutečných projektových parametrů (nepřipouští se využití typického profilu užívání dle ČSN 730331-1)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1EC4317B" w14:textId="2333F7F3" w:rsidR="00552BC1" w:rsidRPr="006361DB" w:rsidRDefault="00552BC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B05EF" w14:textId="77777777" w:rsidR="00552BC1" w:rsidRPr="006361DB" w:rsidRDefault="00552BC1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35FB1DDF" w14:textId="77777777" w:rsidTr="00E02CA8">
        <w:trPr>
          <w:trHeight w:val="835"/>
        </w:trPr>
        <w:tc>
          <w:tcPr>
            <w:tcW w:w="6898" w:type="dxa"/>
            <w:shd w:val="clear" w:color="auto" w:fill="auto"/>
            <w:vAlign w:val="bottom"/>
            <w:hideMark/>
          </w:tcPr>
          <w:p w14:paraId="3D39A2FF" w14:textId="09865A37" w:rsidR="006361DB" w:rsidRPr="00C32A99" w:rsidRDefault="00C30FCE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0FC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 realizaci projektu musí budova plnit minimálně parametry energetické náročnosti definované § 6 odst. 2 vyhlášky č. 264/2020 Sb., o energetické náročnosti budov.</w:t>
            </w:r>
          </w:p>
        </w:tc>
        <w:tc>
          <w:tcPr>
            <w:tcW w:w="4971" w:type="dxa"/>
            <w:shd w:val="clear" w:color="auto" w:fill="auto"/>
            <w:noWrap/>
            <w:vAlign w:val="bottom"/>
            <w:hideMark/>
          </w:tcPr>
          <w:p w14:paraId="672EF33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66CDD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5F2FE09A" w14:textId="77777777" w:rsidTr="00E02CA8">
        <w:trPr>
          <w:trHeight w:val="835"/>
        </w:trPr>
        <w:tc>
          <w:tcPr>
            <w:tcW w:w="6898" w:type="dxa"/>
            <w:shd w:val="clear" w:color="auto" w:fill="auto"/>
            <w:vAlign w:val="bottom"/>
          </w:tcPr>
          <w:p w14:paraId="71E0D9DD" w14:textId="0E64ADB4" w:rsidR="00425395" w:rsidRPr="00C32A99" w:rsidRDefault="00E06219" w:rsidP="00811C9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průmyslové a výrobní provozy, dílenské provozovny a zemědělské budovy se spotřebou energie do </w:t>
            </w:r>
            <w:r w:rsidR="00AC79CE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  <w:r w:rsidR="001820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C79CE">
              <w:rPr>
                <w:rFonts w:ascii="Calibri" w:eastAsia="Times New Roman" w:hAnsi="Calibri" w:cs="Calibri"/>
                <w:color w:val="000000"/>
                <w:lang w:eastAsia="cs-CZ"/>
              </w:rPr>
              <w:t>MWh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 rok platí pro danou část opatření podmínka U ≤ UN (Normové hodnoty součinitele prostupu tepla UN, pro uvažovanou návrhovou teplotu jednotlivých konstrukcí dle ČSN 73 0540-2 Tepelná ochrana budov).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5A12E759" w14:textId="77777777" w:rsidR="00425395" w:rsidRPr="006361DB" w:rsidRDefault="00425395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2291C" w14:textId="77777777" w:rsidR="00425395" w:rsidRPr="006361DB" w:rsidRDefault="00425395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5EB80956" w14:textId="77777777" w:rsidTr="00E02CA8">
        <w:trPr>
          <w:trHeight w:val="835"/>
        </w:trPr>
        <w:tc>
          <w:tcPr>
            <w:tcW w:w="6898" w:type="dxa"/>
            <w:shd w:val="clear" w:color="auto" w:fill="auto"/>
            <w:vAlign w:val="bottom"/>
          </w:tcPr>
          <w:p w14:paraId="4AC84E15" w14:textId="31F89876" w:rsidR="00425395" w:rsidRPr="00C32A99" w:rsidRDefault="00FF2B8C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52A9">
              <w:rPr>
                <w:rFonts w:ascii="Calibri" w:eastAsia="Times New Roman" w:hAnsi="Calibri" w:cs="Calibri"/>
                <w:color w:val="000000"/>
                <w:lang w:eastAsia="cs-CZ"/>
              </w:rPr>
              <w:t>Požadavky</w:t>
            </w:r>
            <w:r w:rsidR="00FC0477" w:rsidRPr="00E852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C0477" w:rsidRPr="00E852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na energetickou náročnost budovy </w:t>
            </w:r>
            <w:r w:rsidRPr="00E852A9">
              <w:rPr>
                <w:rFonts w:ascii="Calibri" w:eastAsia="Times New Roman" w:hAnsi="Calibri" w:cs="Calibri"/>
                <w:color w:val="000000"/>
                <w:lang w:eastAsia="cs-CZ"/>
              </w:rPr>
              <w:t>podle bod</w:t>
            </w:r>
            <w:r w:rsidR="00E852A9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  <w:r w:rsidRPr="00E852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="00182050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  <w:r w:rsidRPr="00E852A9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="00E852A9" w:rsidRPr="00E852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852A9" w:rsidRPr="00E852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nemusí být splněny</w:t>
            </w:r>
            <w:r w:rsidR="00E852A9">
              <w:rPr>
                <w:rFonts w:ascii="Calibri" w:eastAsia="Times New Roman" w:hAnsi="Calibri" w:cs="Calibri"/>
                <w:color w:val="000000"/>
                <w:lang w:eastAsia="cs-CZ"/>
              </w:rPr>
              <w:t>, a to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souladu s § 7 odst. 5 zákona č. 406/2000 Sb., o hospodaření energií v platném znění </w:t>
            </w:r>
            <w:r w:rsidR="00E852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budov, které jsou kulturní památkou, anebo nejsou kulturní památkou, ale nacházejí se v památkové rezervaci nebo památkové zóně (zákon České národní rady č. 20/1987 Sb., o státní památkové péči v platném znění), pokud by s ohledem na zájmy státní památkové péče splnění některých požadavků na energetickou náročnost těchto budov výrazně změnilo jejich charakter nebo vzhled; tuto skutečnost je nutné doložit závazným stanoviskem orgánu státní památkové péče.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168692E" w14:textId="77777777" w:rsidR="00425395" w:rsidRPr="006361DB" w:rsidRDefault="00425395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7AC41" w14:textId="77777777" w:rsidR="00425395" w:rsidRPr="006361DB" w:rsidRDefault="00425395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27C8E03C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7DB5C7B4" w14:textId="2960D6BB" w:rsidR="002B4B05" w:rsidRPr="00C32A99" w:rsidRDefault="00FF2B8C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případě realizace opatření ke snižování energetické náročnosti budov</w:t>
            </w:r>
            <w:r w:rsidR="00AC79C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musí být provedeno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FA11C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hydraulické vyvážení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otopné soustavy.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41BB4079" w14:textId="77777777" w:rsidR="002B4B05" w:rsidRPr="006361DB" w:rsidRDefault="002B4B05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53401" w14:textId="77777777" w:rsidR="002B4B05" w:rsidRPr="006361DB" w:rsidRDefault="002B4B05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105A16C6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4F327B14" w14:textId="36238B6E" w:rsidR="00FF2B8C" w:rsidRPr="00C32A99" w:rsidRDefault="00FF2B8C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případě realizace opatření zahrnující větrací jednotky musí být plněny požadavky dle Nařízení Komise (EU) 1253/2014, týkající se požadavků na ekodesign větracích jednotek.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5EA88016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6B353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63CABBD6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4D1AB33" w14:textId="6D40C803" w:rsidR="00FF2B8C" w:rsidRPr="00C32A99" w:rsidRDefault="00FF2B8C" w:rsidP="00182050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rámci programu Úspory energie nelze podporovat spotřebiče pro neprofesionální použití (zařízení pro domácnost) podle nařízení Evropského parlamentu a Rady 2017/1369 ze dne 4. července 2017, kterým se stanoví rámec pro označování energetickými štítky a zrušuje směrnice 2010/30/EU.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6AA1A41C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21A52E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0DE8B5BC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549C3432" w14:textId="0D255B9F" w:rsidR="00FF2B8C" w:rsidRPr="0037314B" w:rsidRDefault="00C25440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289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se na použitá zařízení vztahují požadavky na ekodesign a označování energetickými štítky, v příslušných případech splňují požadavky na nejvyšší třídu energetického štítku stanovené v </w:t>
            </w:r>
            <w:r w:rsidRPr="00222891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nařízení (EU) 2017/1369 a požadavky prováděcích předpisů podle směrnice 2009/125/ES a představují nejlepší dostupnou technologii. 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78B4D17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9268D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202CD790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3909DDA" w14:textId="7214D883" w:rsidR="00FF2B8C" w:rsidRPr="00C32A99" w:rsidRDefault="00FF2B8C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Přírodní chladiva chladniček a mrazniček musí splnit potenciál globálního oteplování (GWP) &lt; 150 podle Nařízení Evropské komise č. 517/2014 o fluorovaných skleníkových plynech.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4E0482A5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4D49A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6009FF84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4993535" w14:textId="75669E51" w:rsidR="00FF2B8C" w:rsidRPr="00C32A99" w:rsidRDefault="00FF2B8C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V případě aktivity snižování energetické náročnosti/zvyšování energetické účinnosti výrobních a technologických procesů musí při pořízení energeticky úspornějších výrobních strojů a technologických zařízení respektovány níže uvedené podmínky:</w:t>
            </w:r>
          </w:p>
          <w:p w14:paraId="0C16097B" w14:textId="77777777" w:rsidR="003A5013" w:rsidRDefault="003A5013" w:rsidP="003A501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roční produkce nového zařízení nesmí překročit roční produkci nahrazovaného zařízení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7"/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; pokud dojde k překročení roční produkce, tak musí být pro výpočet způsobilých výdajů aplikován článek 38 bod 3 b) Nařízení Komise (EU) č. 651/2014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8"/>
            </w:r>
          </w:p>
          <w:p w14:paraId="73566AF4" w14:textId="322821BA" w:rsidR="003A5013" w:rsidRPr="003A5013" w:rsidRDefault="003A5013" w:rsidP="003A5013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zařízení musí být nové a současně musí být prokazatelné, že nahrazovaná zařízení již nejsou používána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9"/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555202F5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4855A2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7595817F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620A51CC" w14:textId="0165C8CE" w:rsidR="00FF2B8C" w:rsidRPr="00C32A99" w:rsidRDefault="003A5013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Projekt musí být realizován na území ČR mimo NUTS II Praha.</w:t>
            </w:r>
          </w:p>
          <w:p w14:paraId="11FADA40" w14:textId="73F58258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rámci projektu lze uplatnit pouze jedno místo realizace. Místo realizace </w:t>
            </w:r>
            <w:r w:rsidR="00FA11CA">
              <w:rPr>
                <w:rFonts w:ascii="Calibri" w:eastAsia="Times New Roman" w:hAnsi="Calibri" w:cs="Calibri"/>
                <w:color w:val="000000"/>
                <w:lang w:eastAsia="cs-CZ"/>
              </w:rPr>
              <w:t>musí</w:t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být součástí jednoho energetického hospodářství a zároveň se bude jednat o ucelené území podle katastrální mapy. </w:t>
            </w:r>
          </w:p>
          <w:p w14:paraId="5F938F3B" w14:textId="485BC4B1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nesmí být realizován na pozemku, kde stojí stavba, která má způsob využití typu 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0"/>
            </w: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  <w:p w14:paraId="3AEABD4D" w14:textId="77777777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 objekt k bydlení, </w:t>
            </w:r>
          </w:p>
          <w:p w14:paraId="5A6CF7E8" w14:textId="77777777" w:rsidR="003A5013" w:rsidRPr="003A5013" w:rsidRDefault="003A5013" w:rsidP="003A501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>bytový dům,</w:t>
            </w:r>
          </w:p>
          <w:p w14:paraId="7A9C58B8" w14:textId="7DF72697" w:rsidR="003A5013" w:rsidRPr="003A5013" w:rsidRDefault="003A5013" w:rsidP="00982D83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50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rodinný dům. 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5B048F04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F762D" w14:textId="77777777" w:rsidR="00FF2B8C" w:rsidRPr="006361DB" w:rsidRDefault="00FF2B8C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7CF085F4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4360FDF3" w14:textId="17E90FB5" w:rsidR="001811EB" w:rsidRPr="00F01934" w:rsidRDefault="001811EB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Projekty, které spadají pod integrovanou prevenci a omezování znečištění podle Přílohy č. 1 zákona č. 76/2002 Sb., o integrované prevenci a omezování znečištění, o integrovaném registru znečišťování a o změně některých zákonů</w:t>
            </w:r>
            <w:r w:rsidR="004635E5">
              <w:rPr>
                <w:rFonts w:ascii="Calibri" w:eastAsia="Times New Roman" w:hAnsi="Calibri" w:cs="Calibri"/>
                <w:color w:val="000000"/>
                <w:lang w:eastAsia="cs-CZ"/>
              </w:rPr>
              <w:t>, v platném znění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(zákon o integrované prevenci), musí splňovat požadavky na úrovni nejlepších dostupných technik.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7AFB33B5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B9E31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0F96" w:rsidRPr="006361DB" w14:paraId="007DFE0E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55B801C3" w14:textId="2E4557B6" w:rsidR="001811EB" w:rsidRPr="00F01934" w:rsidRDefault="001811EB" w:rsidP="0037314B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Splnění kritérií udržitelnosti a úspor emisí skleníkových plynů pro </w:t>
            </w:r>
            <w:r w:rsidR="00594E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pevnou biomasu,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biop</w:t>
            </w:r>
            <w:r w:rsidR="00594E8D">
              <w:rPr>
                <w:rFonts w:ascii="Calibri" w:eastAsia="Times New Roman" w:hAnsi="Calibri" w:cs="Calibri"/>
                <w:color w:val="000000"/>
                <w:lang w:eastAsia="cs-CZ"/>
              </w:rPr>
              <w:t>lyn a biometan</w:t>
            </w:r>
            <w:r w:rsidR="0037314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podle směrnice 2018/2001 o podpoře využívání energie z obnovitelných zdrojů</w:t>
            </w:r>
            <w:r w:rsidR="008E1AFF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1"/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594E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0E165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Podpořeny nebudou projekty rekonstrukce či výstavby zdroje nad 5 MW příkonu. </w:t>
            </w:r>
            <w:r w:rsidR="00594E8D" w:rsidRPr="00594E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 případě využívání obnovitelných zdrojů energie a vysoce účinné KVET na pevnou biomasu, kde podporované druhy pevné biomasy a jejich maximální přepravní vzdálenosti jsou definovány v příloze </w:t>
            </w:r>
            <w:r w:rsidR="001729C1">
              <w:rPr>
                <w:rFonts w:ascii="Calibri" w:eastAsia="Times New Roman" w:hAnsi="Calibri" w:cs="Calibri"/>
                <w:color w:val="000000"/>
                <w:lang w:eastAsia="cs-CZ"/>
              </w:rPr>
              <w:t>č.8 „</w:t>
            </w:r>
            <w:r w:rsidR="00255278" w:rsidRPr="002552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Druhy pevné biomasy s </w:t>
            </w:r>
            <w:r w:rsidR="0037314B" w:rsidRPr="00255278">
              <w:rPr>
                <w:rFonts w:ascii="Calibri" w:eastAsia="Times New Roman" w:hAnsi="Calibri" w:cs="Calibri"/>
                <w:color w:val="000000"/>
                <w:lang w:eastAsia="cs-CZ"/>
              </w:rPr>
              <w:t>úsporami</w:t>
            </w:r>
            <w:r w:rsidR="00255278" w:rsidRPr="002552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7314B">
              <w:rPr>
                <w:rFonts w:ascii="Calibri" w:eastAsia="Times New Roman" w:hAnsi="Calibri" w:cs="Calibri"/>
                <w:color w:val="000000"/>
                <w:lang w:eastAsia="cs-CZ"/>
              </w:rPr>
              <w:t>skleníkových plynů</w:t>
            </w:r>
            <w:r w:rsidR="001729C1">
              <w:rPr>
                <w:rFonts w:ascii="Calibri" w:eastAsia="Times New Roman" w:hAnsi="Calibri" w:cs="Calibri"/>
                <w:color w:val="000000"/>
                <w:lang w:eastAsia="cs-CZ"/>
              </w:rPr>
              <w:t>“</w:t>
            </w:r>
            <w:r w:rsidR="00594E8D" w:rsidRPr="00594E8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žadatel k žádosti o podporu jednoznačně identifikuje druh biomasy podle dané přílohy a v případě dalších biomasových zdrojů mimo RED II provede individuální výpočet prokazující docílení alespoň 80 % úspory emisí skleníkových plynů pocházejících z používání biomasy ve vztahu k metodice úspor emisí skleníkových plynů a k referenčním fosilním palivům stanoveným v příloze VI směrnice (EU) </w:t>
            </w:r>
            <w:r w:rsidR="00594E8D" w:rsidRPr="00594E8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2018/2001. K Rozhodnutí o poskytnutí podpory je pak nutné předložit smlouvu o smlouvě budoucí, z které bude zřejmé splnění požadavku na druh biomasy a maximální přepravní vzdálenost do 250 km včetně zajištění dodávky předmětné biomasy minimálně s energetickým obsahem odpovídajícímu energetickému posudku k dané žádosti o podporu. K první žádosti o platbu týkající se zdroje na biomasu bude nutné předložit smlouvu o dodávce biomasy, z které bude zřejmé splnění požadavků požadovaných ke smlouvě o smlouvě budoucí uvedené výše.</w:t>
            </w:r>
            <w:r w:rsidR="00AE5D3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E5D35" w:rsidRPr="00222891">
              <w:t> </w:t>
            </w:r>
            <w:r w:rsidR="00AE5D35">
              <w:t>Navíc ž</w:t>
            </w:r>
            <w:r w:rsidR="00AE5D35" w:rsidRPr="00222891">
              <w:t>adatel v uzavřené smlouvě s dodavatelem biomasy specifikuje, jakým způsobem se strany dohodly k naplnění přizpůsobování se změnám klimatu a zavedeným adaptačním řešením.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F288749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AAF26" w14:textId="77777777" w:rsidR="001811EB" w:rsidRPr="006361DB" w:rsidRDefault="001811EB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3370" w:rsidRPr="006361DB" w14:paraId="78506D34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6C8EA39E" w14:textId="34AE07C0" w:rsidR="00193370" w:rsidRPr="00F01934" w:rsidRDefault="00FA11CA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Pokud je pro danou kombinaci podpor relevantní, tak v případě investiční podpory bude</w:t>
            </w:r>
            <w:r w:rsidR="00C8202B"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odpovídajícím způsobem snížena vnitrostátní provozní podpora podle oznámení Evropské</w:t>
            </w:r>
            <w:r w:rsid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FA11CA">
              <w:rPr>
                <w:rFonts w:ascii="Calibri" w:eastAsia="Times New Roman" w:hAnsi="Calibri" w:cs="Calibri"/>
                <w:color w:val="000000"/>
                <w:lang w:eastAsia="cs-CZ"/>
              </w:rPr>
              <w:t>komise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3727C821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56AD7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93370" w:rsidRPr="006361DB" w14:paraId="430C63EF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6B03B9F2" w14:textId="5747CD90" w:rsidR="00193370" w:rsidRPr="00F01934" w:rsidRDefault="00193370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Projekty obsahující návrh na kombinovanou výrobu elektřiny a tepla budou podporovány pouze v případě, pokud splní kritéria pro vysokoúčinnou výrobu elektřiny a tepla podle vyhlášky č. 37/2016 Sb. o elektřině z vysokoúčinné kombinované výroby elektřiny a tepla a elektřině z druhotných zdrojů.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09016437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E49A8" w14:textId="77777777" w:rsidR="00193370" w:rsidRPr="006361DB" w:rsidRDefault="0019337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1420" w:rsidRPr="006361DB" w14:paraId="4B3E0EE9" w14:textId="77777777" w:rsidTr="00E02CA8">
        <w:trPr>
          <w:trHeight w:val="70"/>
        </w:trPr>
        <w:tc>
          <w:tcPr>
            <w:tcW w:w="6898" w:type="dxa"/>
            <w:shd w:val="clear" w:color="auto" w:fill="auto"/>
            <w:vAlign w:val="bottom"/>
          </w:tcPr>
          <w:p w14:paraId="3B5140F4" w14:textId="20A17A45" w:rsidR="00281420" w:rsidRPr="00F01934" w:rsidRDefault="00C8202B" w:rsidP="00222891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Projektu, který dosáhne hodnoty IRR před zdaněním vyšší než 20 % (bez dotace) podle vyhlášky č. 141/2021 Sb., o energetickém posudku a o údajích vedených v Systému monitoringu spotřeby energie</w:t>
            </w:r>
            <w:r w:rsidR="00FD23DD">
              <w:rPr>
                <w:rFonts w:ascii="Calibri" w:eastAsia="Times New Roman" w:hAnsi="Calibri" w:cs="Calibri"/>
                <w:color w:val="000000"/>
                <w:lang w:eastAsia="cs-CZ"/>
              </w:rPr>
              <w:t>, v platném znění</w:t>
            </w:r>
            <w:r w:rsidR="00FD23DD"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viz Příloha č. 8</w:t>
            </w:r>
            <w:r w:rsidRPr="00C8202B">
              <w:rPr>
                <w:rFonts w:ascii="Calibri" w:eastAsia="Times New Roman" w:hAnsi="Calibri" w:cs="Calibri"/>
                <w:color w:val="000000"/>
                <w:lang w:eastAsia="cs-CZ"/>
              </w:rPr>
              <w:t>, nebude dotace poskytnuta.</w:t>
            </w:r>
          </w:p>
        </w:tc>
        <w:tc>
          <w:tcPr>
            <w:tcW w:w="4971" w:type="dxa"/>
            <w:shd w:val="clear" w:color="auto" w:fill="auto"/>
            <w:noWrap/>
            <w:vAlign w:val="bottom"/>
          </w:tcPr>
          <w:p w14:paraId="3735A1F0" w14:textId="77777777" w:rsidR="00281420" w:rsidRPr="006361DB" w:rsidRDefault="0028142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2511A" w14:textId="77777777" w:rsidR="00281420" w:rsidRPr="006361DB" w:rsidRDefault="00281420" w:rsidP="00FF2B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04F176A" w14:textId="1E3924C5" w:rsidR="00713948" w:rsidRDefault="00713948" w:rsidP="00FF2B8C">
      <w:pPr>
        <w:jc w:val="both"/>
      </w:pPr>
    </w:p>
    <w:p w14:paraId="1144615A" w14:textId="7EF304B7" w:rsidR="004631EE" w:rsidRDefault="004631EE" w:rsidP="004631EE">
      <w:pPr>
        <w:jc w:val="right"/>
      </w:pPr>
      <w:r>
        <w:t>Potvrzení energetického specialisty</w:t>
      </w:r>
    </w:p>
    <w:p w14:paraId="337A0EB2" w14:textId="77777777" w:rsidR="004631EE" w:rsidRDefault="004631EE" w:rsidP="00FF2B8C">
      <w:pPr>
        <w:jc w:val="both"/>
      </w:pPr>
    </w:p>
    <w:p w14:paraId="4D4BEC66" w14:textId="77777777" w:rsidR="004631EE" w:rsidRDefault="004631EE" w:rsidP="00FF2B8C">
      <w:pPr>
        <w:jc w:val="both"/>
      </w:pPr>
    </w:p>
    <w:p w14:paraId="003EF2D6" w14:textId="77777777" w:rsidR="008E1AFF" w:rsidRDefault="008E1AFF" w:rsidP="00FF2B8C">
      <w:pPr>
        <w:jc w:val="both"/>
      </w:pPr>
    </w:p>
    <w:p w14:paraId="3A549A75" w14:textId="5DE60AC5" w:rsidR="00982D83" w:rsidRDefault="004631EE" w:rsidP="007E2162">
      <w:pPr>
        <w:pStyle w:val="Nadpisobsahu"/>
        <w:jc w:val="center"/>
      </w:pPr>
      <w:r w:rsidRPr="007E2162">
        <w:t xml:space="preserve">3.b – </w:t>
      </w:r>
      <w:r w:rsidR="00982D83" w:rsidRPr="007E2162">
        <w:t>Výčet specifických podmínek</w:t>
      </w:r>
      <w:r w:rsidR="006C45C2" w:rsidRPr="007E2162">
        <w:t xml:space="preserve"> programu</w:t>
      </w:r>
      <w:r w:rsidR="00982D83" w:rsidRPr="007E2162">
        <w:t>, ke kterým se bude vyjadřovat žadatel</w:t>
      </w:r>
    </w:p>
    <w:p w14:paraId="5D37FDA8" w14:textId="77777777" w:rsidR="007E2162" w:rsidRPr="007E2162" w:rsidRDefault="007E2162" w:rsidP="007E2162"/>
    <w:tbl>
      <w:tblPr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2"/>
        <w:gridCol w:w="4922"/>
        <w:gridCol w:w="2771"/>
      </w:tblGrid>
      <w:tr w:rsidR="0061343A" w:rsidRPr="006361DB" w14:paraId="32AA2A55" w14:textId="77777777" w:rsidTr="00982D83">
        <w:trPr>
          <w:trHeight w:val="983"/>
          <w:tblHeader/>
        </w:trPr>
        <w:tc>
          <w:tcPr>
            <w:tcW w:w="7122" w:type="dxa"/>
            <w:shd w:val="clear" w:color="auto" w:fill="A6A6A6" w:themeFill="background1" w:themeFillShade="A6"/>
            <w:noWrap/>
            <w:vAlign w:val="center"/>
          </w:tcPr>
          <w:p w14:paraId="7C41E648" w14:textId="6E529CFF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Specifická podmínka programu</w:t>
            </w:r>
          </w:p>
        </w:tc>
        <w:tc>
          <w:tcPr>
            <w:tcW w:w="4922" w:type="dxa"/>
            <w:shd w:val="clear" w:color="auto" w:fill="A6A6A6" w:themeFill="background1" w:themeFillShade="A6"/>
            <w:noWrap/>
            <w:vAlign w:val="center"/>
          </w:tcPr>
          <w:p w14:paraId="072C507F" w14:textId="7FE32890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Stanovisko žadatele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footnoteReference w:id="12"/>
            </w:r>
          </w:p>
        </w:tc>
        <w:tc>
          <w:tcPr>
            <w:tcW w:w="2691" w:type="dxa"/>
            <w:shd w:val="clear" w:color="auto" w:fill="A6A6A6" w:themeFill="background1" w:themeFillShade="A6"/>
            <w:noWrap/>
            <w:vAlign w:val="center"/>
          </w:tcPr>
          <w:p w14:paraId="4A18C0D3" w14:textId="16024D5F" w:rsidR="0061343A" w:rsidRPr="00982D83" w:rsidRDefault="0061343A" w:rsidP="00982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</w:pPr>
            <w:r w:rsidRPr="00982D83">
              <w:rPr>
                <w:rFonts w:ascii="Calibri" w:eastAsia="Times New Roman" w:hAnsi="Calibri" w:cs="Calibri"/>
                <w:b/>
                <w:bCs/>
                <w:color w:val="auto"/>
                <w:lang w:eastAsia="cs-CZ"/>
              </w:rPr>
              <w:t>Splněno (ANO/NE/NERELEVANTNÍ*1)</w:t>
            </w:r>
          </w:p>
        </w:tc>
      </w:tr>
      <w:tr w:rsidR="0061343A" w:rsidRPr="006361DB" w14:paraId="1452C448" w14:textId="77777777" w:rsidTr="00982D83">
        <w:trPr>
          <w:trHeight w:val="3250"/>
        </w:trPr>
        <w:tc>
          <w:tcPr>
            <w:tcW w:w="7122" w:type="dxa"/>
            <w:shd w:val="clear" w:color="auto" w:fill="auto"/>
            <w:noWrap/>
            <w:vAlign w:val="center"/>
            <w:hideMark/>
          </w:tcPr>
          <w:p w14:paraId="729E8C44" w14:textId="6B3B70EB" w:rsidR="0061343A" w:rsidRPr="00F01934" w:rsidRDefault="0061343A" w:rsidP="00F01934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Nejméně 70 % </w:t>
            </w:r>
            <w:r w:rsidR="00063F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celkové hmotnosti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stavebního a demoličního odpadu neklasifikovaného jako nebezpečný (s výjimkou v přírodě se vyskytujících materiálů uvedených v kategorii 17 05 04 v Evropském seznamu odpadů stanoveném rozhodnutím 2000/532/ES) vzniklého na staveništi je připraveno k opětovnému použití, recyklaci a k jiným druhům materiálového využití, včetně zásypů, při nichž jsou jiné materiály nahrazeny odpadem, v souladu s hierarchií způsobů nakládání s odpady a protokolem EU pro nakládání se stavebním a demoličním odpadem. Provozovatelé </w:t>
            </w:r>
            <w:r w:rsidR="00063F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jsou povinni omezit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produkci odpadu v procesech souvisejících s výstavbou a demolicemi v souladu s protokolem EU pro nakládání se stavebním a demoličním odpadem s přihlédnutím k nejlepším dostupným technikám a pomocí selektivní demolice, aby bylo možné odstranit nebezpečné látky a bezpečně s nimi nakládat, a usnadňují opětovné použití a kvalitní recyklaci selektivním odstraněním materiálů s využitím dostupných třídicích systémů pro stavební a demoliční </w:t>
            </w:r>
            <w:r w:rsidR="0037314B"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odpad</w:t>
            </w:r>
            <w:r w:rsidR="0037314B" w:rsidRPr="00F019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922" w:type="dxa"/>
            <w:shd w:val="clear" w:color="auto" w:fill="auto"/>
            <w:noWrap/>
            <w:vAlign w:val="bottom"/>
            <w:hideMark/>
          </w:tcPr>
          <w:p w14:paraId="47780EB4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91" w:type="dxa"/>
            <w:shd w:val="clear" w:color="auto" w:fill="auto"/>
            <w:noWrap/>
            <w:vAlign w:val="bottom"/>
            <w:hideMark/>
          </w:tcPr>
          <w:p w14:paraId="63D8EEEC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E6F42" w:rsidRPr="006361DB" w14:paraId="69B96738" w14:textId="77777777" w:rsidTr="008E6F42">
        <w:trPr>
          <w:trHeight w:val="489"/>
        </w:trPr>
        <w:tc>
          <w:tcPr>
            <w:tcW w:w="7122" w:type="dxa"/>
            <w:shd w:val="clear" w:color="auto" w:fill="auto"/>
            <w:noWrap/>
            <w:vAlign w:val="center"/>
          </w:tcPr>
          <w:p w14:paraId="4BE81A55" w14:textId="2187FEA7" w:rsidR="008E6F42" w:rsidRPr="00F01934" w:rsidRDefault="008E6F42" w:rsidP="00F01934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Projekt realizuje adaptační opatření, která deklaroval v rámci předložené žádosti o podporu.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22470CEB" w14:textId="77777777" w:rsidR="008E6F42" w:rsidRPr="006361DB" w:rsidRDefault="008E6F42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1AC74547" w14:textId="77777777" w:rsidR="008E6F42" w:rsidRPr="006361DB" w:rsidRDefault="008E6F42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343A" w:rsidRPr="006361DB" w14:paraId="17E91185" w14:textId="77777777" w:rsidTr="00982D8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4640AAE3" w14:textId="7039FF37" w:rsidR="0061343A" w:rsidRPr="00F01934" w:rsidRDefault="0061343A" w:rsidP="00F01934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Budova neslouží k těžbě, skladování, přepravě nebo výrobě fosilních paliv.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9E8B12A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EE164E9" w14:textId="77777777" w:rsidR="0061343A" w:rsidRPr="006361DB" w:rsidRDefault="0061343A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2D83" w:rsidRPr="006361DB" w14:paraId="3AA1DC8C" w14:textId="77777777" w:rsidTr="00982D8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2716EA1D" w14:textId="3A5D84E8" w:rsidR="00982D83" w:rsidRPr="00F01934" w:rsidRDefault="00125F56" w:rsidP="00F01934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Na úrovni záměru je třeba posoudit výskyt ptáků a netopýrů a aplikovat opatření k jejich ochraně (práce mimo dobu jejich výskytu, instalace budek, realizace větracích otvorů tak, aby byly i nadále přístupné). 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52032CD" w14:textId="77777777" w:rsidR="00982D83" w:rsidRPr="006361DB" w:rsidRDefault="00982D83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F49BB44" w14:textId="77777777" w:rsidR="00982D83" w:rsidRPr="006361DB" w:rsidRDefault="00982D83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3E60" w:rsidRPr="006361DB" w14:paraId="3AB0D905" w14:textId="77777777" w:rsidTr="00982D8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74E92DEA" w14:textId="3E4BFCCD" w:rsidR="00C63E60" w:rsidRPr="00F01934" w:rsidRDefault="00C63E60" w:rsidP="00F01934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Žadatel o podporu není provozovatel stacionárního zařízení v České republice, která jsou součástí Evropského systému emisního obchodování.</w:t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30936E68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22FF6420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3E60" w:rsidRPr="006361DB" w14:paraId="6120AD07" w14:textId="77777777" w:rsidTr="00982D83">
        <w:trPr>
          <w:trHeight w:val="582"/>
        </w:trPr>
        <w:tc>
          <w:tcPr>
            <w:tcW w:w="7122" w:type="dxa"/>
            <w:shd w:val="clear" w:color="auto" w:fill="auto"/>
            <w:noWrap/>
            <w:vAlign w:val="center"/>
          </w:tcPr>
          <w:p w14:paraId="6F3CEED0" w14:textId="4E75AC8C" w:rsidR="00C63E60" w:rsidRPr="00F01934" w:rsidRDefault="00C6012E" w:rsidP="00F01934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Pokud je ž</w:t>
            </w:r>
            <w:r w:rsidR="00C63E60"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adatel o podporu provozovatel stacionárního zařízení v České republice, která jsou součástí Evropského systému emisního obchodování, </w:t>
            </w:r>
            <w:r w:rsidRPr="00F01934">
              <w:rPr>
                <w:rFonts w:ascii="Calibri" w:eastAsia="Times New Roman" w:hAnsi="Calibri" w:cs="Calibri"/>
                <w:color w:val="000000"/>
                <w:lang w:eastAsia="cs-CZ"/>
              </w:rPr>
              <w:t>tak se bude jednat o způsobilé opatření za předpokladu splnění podmínek uvedených v kapitole výzvy.</w:t>
            </w:r>
            <w:r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3"/>
            </w:r>
          </w:p>
        </w:tc>
        <w:tc>
          <w:tcPr>
            <w:tcW w:w="4922" w:type="dxa"/>
            <w:shd w:val="clear" w:color="auto" w:fill="auto"/>
            <w:noWrap/>
            <w:vAlign w:val="bottom"/>
          </w:tcPr>
          <w:p w14:paraId="0FA28825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91" w:type="dxa"/>
            <w:shd w:val="clear" w:color="auto" w:fill="auto"/>
            <w:noWrap/>
            <w:vAlign w:val="bottom"/>
          </w:tcPr>
          <w:p w14:paraId="694D9A2D" w14:textId="77777777" w:rsidR="00C63E60" w:rsidRPr="006361DB" w:rsidRDefault="00C63E60" w:rsidP="004502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7DB26A0" w14:textId="58828D25" w:rsidR="000113AC" w:rsidRDefault="000113AC" w:rsidP="00FF2B8C">
      <w:pPr>
        <w:jc w:val="both"/>
      </w:pPr>
    </w:p>
    <w:p w14:paraId="236DAF5E" w14:textId="67FB6F44" w:rsidR="004631EE" w:rsidRDefault="004631EE" w:rsidP="004631EE">
      <w:pPr>
        <w:jc w:val="right"/>
      </w:pPr>
      <w:r>
        <w:t>Potvrzení žadatele</w:t>
      </w:r>
    </w:p>
    <w:sectPr w:rsidR="004631EE" w:rsidSect="00636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C86F" w14:textId="77777777" w:rsidR="00922281" w:rsidRDefault="00922281" w:rsidP="00677FE0">
      <w:pPr>
        <w:spacing w:after="0" w:line="240" w:lineRule="auto"/>
      </w:pPr>
      <w:r>
        <w:separator/>
      </w:r>
    </w:p>
  </w:endnote>
  <w:endnote w:type="continuationSeparator" w:id="0">
    <w:p w14:paraId="0DEDAC2B" w14:textId="77777777" w:rsidR="00922281" w:rsidRDefault="0092228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EB14" w14:textId="77777777" w:rsidR="007A41BE" w:rsidRDefault="007A41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933616"/>
      <w:docPartObj>
        <w:docPartGallery w:val="Page Numbers (Bottom of Page)"/>
        <w:docPartUnique/>
      </w:docPartObj>
    </w:sdtPr>
    <w:sdtEndPr/>
    <w:sdtContent>
      <w:p w14:paraId="0B467327" w14:textId="77777777" w:rsidR="007E2162" w:rsidRDefault="007E2162" w:rsidP="007E2162">
        <w:pPr>
          <w:pStyle w:val="Zpat"/>
          <w:jc w:val="center"/>
        </w:pPr>
      </w:p>
      <w:p w14:paraId="4095C3C1" w14:textId="452082CB" w:rsidR="007E2162" w:rsidRDefault="007E2162" w:rsidP="007E21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66DDB0" w14:textId="77777777" w:rsidR="007E2162" w:rsidRDefault="007E21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5BC7" w14:textId="77777777" w:rsidR="007A41BE" w:rsidRDefault="007A41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14DC" w14:textId="77777777" w:rsidR="00922281" w:rsidRDefault="00922281" w:rsidP="00677FE0">
      <w:pPr>
        <w:spacing w:after="0" w:line="240" w:lineRule="auto"/>
      </w:pPr>
      <w:r>
        <w:separator/>
      </w:r>
    </w:p>
  </w:footnote>
  <w:footnote w:type="continuationSeparator" w:id="0">
    <w:p w14:paraId="285D8BA6" w14:textId="77777777" w:rsidR="00922281" w:rsidRDefault="00922281" w:rsidP="00677FE0">
      <w:pPr>
        <w:spacing w:after="0" w:line="240" w:lineRule="auto"/>
      </w:pPr>
      <w:r>
        <w:continuationSeparator/>
      </w:r>
    </w:p>
  </w:footnote>
  <w:footnote w:id="1">
    <w:p w14:paraId="418F2926" w14:textId="58E0ED22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Energetický specialista zadá relevantní hodnotu nebo popis s odkazem na zdroj dat v energetické posudku. Na základě uvedené hodnoty a popisu určí zda je specifická podmínka splněna. Pokud je specifická podmínka nerelevantní, tak není nutné vyplňovat.</w:t>
      </w:r>
    </w:p>
  </w:footnote>
  <w:footnote w:id="2">
    <w:p w14:paraId="24A2C01A" w14:textId="33FCEA99" w:rsidR="00BF0493" w:rsidRDefault="00BF0493" w:rsidP="00BF04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65B20">
        <w:t>Faktory primární energie z neobnovitelných zdrojů energie budou uvažovány podle přílohy č.3 k vyhlášce 264/2020 Sb. o energetické náročnosti budov. Do výpočtu je zahrnuta pouze energie na vytápění, chlazení, přípravu teplé vody, úpravu vlhkosti, větrání a osvětlení budovy.</w:t>
      </w:r>
    </w:p>
  </w:footnote>
  <w:footnote w:id="3">
    <w:p w14:paraId="05E6079C" w14:textId="77777777" w:rsidR="00BF0493" w:rsidRDefault="00BF0493" w:rsidP="00BF04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5B20">
        <w:t>Faktory primární energie z neobnovitelných zdrojů energie budou uvažovány podle přílohy č.3 k vyhlášce 264/2020 Sb. o energetické náročnosti budov.</w:t>
      </w:r>
    </w:p>
  </w:footnote>
  <w:footnote w:id="4">
    <w:p w14:paraId="0740D3E3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Absolutní emise z projektu vycházejí z ohraničení projektu, které zahrnuje všechny významné a nepřímé emise skleníkových plynů (navrhovaný stav).</w:t>
      </w:r>
    </w:p>
  </w:footnote>
  <w:footnote w:id="5">
    <w:p w14:paraId="5D0D5499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Relativní emise vycházejí z ohraničení projektu, které přiměřeně zahrnuje scénáře „s projektem“ a „bez projektu“ (většinou výchozí stav). Zahrnuje všechny významné přímé a nepřímé emise skleníkových plynů. Relativní emise jsou pak rozdílem </w:t>
      </w:r>
      <w:r w:rsidR="005F242A">
        <w:t>absolutních emisí a výchozího stavu projektu.</w:t>
      </w:r>
    </w:p>
  </w:footnote>
  <w:footnote w:id="6">
    <w:p w14:paraId="16C3792B" w14:textId="77777777" w:rsidR="004C2CEE" w:rsidRDefault="004C2CEE" w:rsidP="004C2C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52BC1">
        <w:t>Doporučení Komise (EU) 2019/1658 ze dne 25. září 2019 k provádění povinných úspor energie podle směrnice o energetické účinnosti do vnitrostátních právních předpisů. Zdroj: Úřední věstník EU</w:t>
      </w:r>
    </w:p>
  </w:footnote>
  <w:footnote w:id="7">
    <w:p w14:paraId="39F1974C" w14:textId="284E2DE5" w:rsidR="003A5013" w:rsidRDefault="003A5013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A5013">
        <w:t>Roční produkci nahrazovaného zařízení a předpokládanou roční produkci nového zařízení je nutné uvést v popisu stávajícího stavu předmětu energetického posudku a v doporučené variantě navrhovaného opatření.</w:t>
      </w:r>
    </w:p>
  </w:footnote>
  <w:footnote w:id="8">
    <w:p w14:paraId="270B39DC" w14:textId="706AAC79" w:rsidR="003A5013" w:rsidRDefault="003A5013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A5013">
        <w:t xml:space="preserve">Podrobný výklad je uveden v příloze číslo </w:t>
      </w:r>
      <w:r w:rsidR="00512A50">
        <w:t>2</w:t>
      </w:r>
      <w:r>
        <w:t xml:space="preserve"> </w:t>
      </w:r>
      <w:r w:rsidR="007566CA">
        <w:t>Vymezení</w:t>
      </w:r>
      <w:r w:rsidRPr="003A5013">
        <w:t xml:space="preserve"> způsobilých výdajů.</w:t>
      </w:r>
    </w:p>
  </w:footnote>
  <w:footnote w:id="9">
    <w:p w14:paraId="48A2AD7E" w14:textId="5A2A76B3" w:rsidR="003A5013" w:rsidRDefault="003A5013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A5013">
        <w:t>Musí dojít k vyřazení a k poslední žádosti o platbu bude nezbytné doložit potvrzení o jeho ekologické likvidaci tak, aby nedošlo k jeho dalšímu používání vzhledem na deklarovanou roční úsporu energie. K vyřazení stroje a k jeho ekologické likvidaci může dojít nejdříve v den registrace žádosti o podporu z důvodu splnění motivačního účinku.</w:t>
      </w:r>
    </w:p>
  </w:footnote>
  <w:footnote w:id="10">
    <w:p w14:paraId="03959318" w14:textId="6F81943F" w:rsidR="003A5013" w:rsidRDefault="003A5013" w:rsidP="00D45AC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45AC2">
        <w:t>V případě, že při realizaci projektu dojde ke změně způsobu využití budovy/stavby na podporovaný typ, lze projekt realizovat. Ke splnění této podmínky musí být před vydáním Rozhodnutí o poskytnutí dotace doloženy dokumenty, které potvrdí, že ke změně způsobu využití budovy/stavby má během realizace projektu dojít.  Následně musí být k závěrečné žádosti o platbu předloženy dokumenty, které prokážou, že ke změně způsobu využití budovy/stavby na podporovaný typ skutečně došlo.  V situaci, kdy bude k závěrečné žádosti o platbu doloženo povolení k předčasnému užívání stavby nebo rozhodnutí o povolení zkušebního provozu, ale změna způsobu využití budovy/stavby bude řešena až v rámci kolaudačního souhlasu/rozhodnutí, jež bude dokládán až v rámci udržitelnosti projektu, dle podmínky Rozhodnutí o poskytnutí dotace, je možné proplatit závěrečnou žádost o platbu</w:t>
      </w:r>
      <w:r w:rsidR="004318F4">
        <w:t xml:space="preserve"> </w:t>
      </w:r>
      <w:r w:rsidR="004318F4" w:rsidRPr="004318F4">
        <w:t>, pokud k ní budou doloženy ostatní relevantní přílohy</w:t>
      </w:r>
      <w:r w:rsidR="00D45AC2">
        <w:t>.</w:t>
      </w:r>
    </w:p>
  </w:footnote>
  <w:footnote w:id="11">
    <w:p w14:paraId="5CF0356C" w14:textId="7C59EB36" w:rsidR="008E1AFF" w:rsidRDefault="008E1AFF" w:rsidP="008E1AF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se cíl opatření týká výroby elektřiny nebo tepla z biomasy v souladu se směrnicí (EU) 2018/2001 a pokud má opatření v zařízení docílit alespoň 80</w:t>
      </w:r>
      <w:r w:rsidR="0037314B">
        <w:t xml:space="preserve"> </w:t>
      </w:r>
      <w:r>
        <w:t xml:space="preserve">% úspory emisí skleníkových plynů pocházejících z používání biomasy ve vztahu k metodice úspor emisí skleníkových plynů a k referenčním fosilním palivům stanoveným v příloze VI směrnice (EU) 2018/2001. </w:t>
      </w:r>
      <w:r w:rsidR="00EB686B">
        <w:t xml:space="preserve"> </w:t>
      </w:r>
      <w:r w:rsidR="00594E8D">
        <w:t xml:space="preserve">Další informace jsou uvedené v příloze </w:t>
      </w:r>
      <w:r w:rsidR="001729C1">
        <w:t xml:space="preserve">č.8 </w:t>
      </w:r>
      <w:r w:rsidR="00D672A2" w:rsidRPr="00D672A2">
        <w:t xml:space="preserve">„Druhy </w:t>
      </w:r>
      <w:r w:rsidR="00255278">
        <w:t xml:space="preserve">pevné </w:t>
      </w:r>
      <w:r w:rsidR="00D672A2" w:rsidRPr="00D672A2">
        <w:t xml:space="preserve">biomasy s </w:t>
      </w:r>
      <w:r w:rsidR="0037314B" w:rsidRPr="00D672A2">
        <w:t>úsporami</w:t>
      </w:r>
      <w:r w:rsidR="00D672A2" w:rsidRPr="00D672A2">
        <w:t xml:space="preserve"> </w:t>
      </w:r>
      <w:r w:rsidR="0037314B">
        <w:t>skleníkových plynů</w:t>
      </w:r>
      <w:r w:rsidR="001729C1">
        <w:t>“</w:t>
      </w:r>
      <w:r w:rsidR="005F69D0">
        <w:t>.</w:t>
      </w:r>
    </w:p>
  </w:footnote>
  <w:footnote w:id="12">
    <w:p w14:paraId="23FA4D64" w14:textId="618585B9" w:rsidR="003B3F6E" w:rsidRDefault="003B3F6E" w:rsidP="003B3F6E">
      <w:pPr>
        <w:pStyle w:val="Textpoznpodarou"/>
      </w:pPr>
      <w:r>
        <w:rPr>
          <w:rStyle w:val="Znakapoznpodarou"/>
        </w:rPr>
        <w:footnoteRef/>
      </w:r>
      <w:r>
        <w:t xml:space="preserve"> Žadatel zadá popis. Na základě uveden</w:t>
      </w:r>
      <w:r w:rsidR="00FC429B">
        <w:t xml:space="preserve">ého </w:t>
      </w:r>
      <w:r>
        <w:t xml:space="preserve">popisu </w:t>
      </w:r>
      <w:r w:rsidR="00FC429B">
        <w:t xml:space="preserve">se </w:t>
      </w:r>
      <w:r>
        <w:t>určí zda je specifická podmínka splněna. Pokud je specifická podmínka nerelevantní, tak není nutné vyplňovat.</w:t>
      </w:r>
    </w:p>
    <w:p w14:paraId="48982821" w14:textId="4174414F" w:rsidR="003B3F6E" w:rsidRDefault="003B3F6E">
      <w:pPr>
        <w:pStyle w:val="Textpoznpodarou"/>
      </w:pPr>
    </w:p>
  </w:footnote>
  <w:footnote w:id="13">
    <w:p w14:paraId="19D009B9" w14:textId="77777777" w:rsidR="00C6012E" w:rsidRDefault="00C6012E" w:rsidP="00C6012E">
      <w:pPr>
        <w:jc w:val="both"/>
      </w:pPr>
      <w:r>
        <w:rPr>
          <w:rStyle w:val="Znakapoznpodarou"/>
        </w:rPr>
        <w:footnoteRef/>
      </w:r>
      <w:r>
        <w:t xml:space="preserve"> Pokud žadatel o podporu je provozovatel, který má stacionární zařízení v České republice, která jsou součástí Evropského systému emisního obchodování („seznam EU ETS“), tak navržená opatření v rámci žádosti o podporu nejsou způsobilá k podpoře, pokud navržená opatření mohou jakýmkoliv přímým či nepřímým způsobem snižovat emise skleníkových plynů ze zařízení nebo činnosti, které má žadatel uvedené v</w:t>
      </w:r>
      <w:r w:rsidRPr="008E0EDB">
        <w:t xml:space="preserve"> </w:t>
      </w:r>
      <w:r>
        <w:t>Rozhodnutí Ministerstva životního prostředí o povolení k emisím skleníkových plynů a o stanovení podmínek k jejich zjišťování, zveřejňování a vykazování a Ročním plánu pro monitorování emisí (dále jen „Rozhodnutí“), a to především:</w:t>
      </w:r>
    </w:p>
    <w:p w14:paraId="5D11C4B7" w14:textId="77777777" w:rsidR="00C6012E" w:rsidRDefault="00C6012E" w:rsidP="00C6012E">
      <w:pPr>
        <w:pStyle w:val="Odstavecseseznamem"/>
        <w:numPr>
          <w:ilvl w:val="0"/>
          <w:numId w:val="39"/>
        </w:numPr>
      </w:pPr>
      <w:r>
        <w:t>jsou realizována na stejné adrese, kde je provozováno zařízení v seznamu EU ETS</w:t>
      </w:r>
    </w:p>
    <w:p w14:paraId="1369525A" w14:textId="216A5CE7" w:rsidR="00C6012E" w:rsidRDefault="00C6012E" w:rsidP="00A22B41">
      <w:pPr>
        <w:pStyle w:val="Odstavecseseznamem"/>
        <w:numPr>
          <w:ilvl w:val="0"/>
          <w:numId w:val="39"/>
        </w:numPr>
      </w:pPr>
      <w:r>
        <w:t>jsou realizována na jiné adrese, než je provozováno zařízení v seznamu EU ETS, ale žadatel provozuje i na této adrese stejnou činnost (bez ohledu na limit příkonu či kapacity pokud předmětné k dané činnosti), která by mohla přímo či nepřímo ovlivnit zařízení nebo činnosti z Rozhodnutí (</w:t>
      </w:r>
      <w:r w:rsidRPr="00C6012E">
        <w:t>Typickým příkladem může být výroba produktů a i jen potenciální přesun výroby mezi podniky, kde jeden podnik má evidované zařízení v Rozhodnutí a druhý podnik, který žádá o podporu, v daném Rozhodnutí není evidován.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14E0" w14:textId="77777777" w:rsidR="007A41BE" w:rsidRDefault="007A41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B1B4" w14:textId="3C23D8BE" w:rsidR="00677FE0" w:rsidRDefault="007E21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3ED50D" wp14:editId="126A0AAB">
          <wp:simplePos x="0" y="0"/>
          <wp:positionH relativeFrom="margin">
            <wp:posOffset>-6985</wp:posOffset>
          </wp:positionH>
          <wp:positionV relativeFrom="page">
            <wp:posOffset>198565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2E20" w14:textId="77777777" w:rsidR="007A41BE" w:rsidRDefault="007A4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64212C"/>
    <w:multiLevelType w:val="hybridMultilevel"/>
    <w:tmpl w:val="95961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D86602C"/>
    <w:multiLevelType w:val="hybridMultilevel"/>
    <w:tmpl w:val="2F80B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1F57773D"/>
    <w:multiLevelType w:val="hybridMultilevel"/>
    <w:tmpl w:val="821A9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38D4669A"/>
    <w:multiLevelType w:val="hybridMultilevel"/>
    <w:tmpl w:val="D2746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5BB"/>
    <w:multiLevelType w:val="hybridMultilevel"/>
    <w:tmpl w:val="A92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6AF8067A"/>
    <w:multiLevelType w:val="hybridMultilevel"/>
    <w:tmpl w:val="8CA296A4"/>
    <w:lvl w:ilvl="0" w:tplc="D530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233E3"/>
    <w:multiLevelType w:val="hybridMultilevel"/>
    <w:tmpl w:val="88EEB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7359">
    <w:abstractNumId w:val="17"/>
  </w:num>
  <w:num w:numId="2" w16cid:durableId="1895264768">
    <w:abstractNumId w:val="37"/>
  </w:num>
  <w:num w:numId="3" w16cid:durableId="934173447">
    <w:abstractNumId w:val="20"/>
  </w:num>
  <w:num w:numId="4" w16cid:durableId="511720598">
    <w:abstractNumId w:val="15"/>
  </w:num>
  <w:num w:numId="5" w16cid:durableId="394090741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918592856">
    <w:abstractNumId w:val="33"/>
  </w:num>
  <w:num w:numId="7" w16cid:durableId="204172595">
    <w:abstractNumId w:val="7"/>
  </w:num>
  <w:num w:numId="8" w16cid:durableId="549731159">
    <w:abstractNumId w:val="36"/>
  </w:num>
  <w:num w:numId="9" w16cid:durableId="1856797804">
    <w:abstractNumId w:val="5"/>
    <w:lvlOverride w:ilvl="0"/>
  </w:num>
  <w:num w:numId="10" w16cid:durableId="1575507902">
    <w:abstractNumId w:val="2"/>
  </w:num>
  <w:num w:numId="11" w16cid:durableId="1997688728">
    <w:abstractNumId w:val="1"/>
  </w:num>
  <w:num w:numId="12" w16cid:durableId="166870427">
    <w:abstractNumId w:val="0"/>
  </w:num>
  <w:num w:numId="13" w16cid:durableId="187643559">
    <w:abstractNumId w:val="35"/>
  </w:num>
  <w:num w:numId="14" w16cid:durableId="338432190">
    <w:abstractNumId w:val="4"/>
  </w:num>
  <w:num w:numId="15" w16cid:durableId="1631741961">
    <w:abstractNumId w:val="3"/>
  </w:num>
  <w:num w:numId="16" w16cid:durableId="932931405">
    <w:abstractNumId w:val="33"/>
  </w:num>
  <w:num w:numId="17" w16cid:durableId="158889127">
    <w:abstractNumId w:val="21"/>
  </w:num>
  <w:num w:numId="18" w16cid:durableId="1290161759">
    <w:abstractNumId w:val="6"/>
  </w:num>
  <w:num w:numId="19" w16cid:durableId="644546562">
    <w:abstractNumId w:val="13"/>
  </w:num>
  <w:num w:numId="20" w16cid:durableId="1526484157">
    <w:abstractNumId w:val="8"/>
  </w:num>
  <w:num w:numId="21" w16cid:durableId="193159853">
    <w:abstractNumId w:val="29"/>
  </w:num>
  <w:num w:numId="22" w16cid:durableId="395590371">
    <w:abstractNumId w:val="11"/>
  </w:num>
  <w:num w:numId="23" w16cid:durableId="952243924">
    <w:abstractNumId w:val="23"/>
  </w:num>
  <w:num w:numId="24" w16cid:durableId="110827721">
    <w:abstractNumId w:val="12"/>
  </w:num>
  <w:num w:numId="25" w16cid:durableId="1147016771">
    <w:abstractNumId w:val="16"/>
  </w:num>
  <w:num w:numId="26" w16cid:durableId="2009551285">
    <w:abstractNumId w:val="32"/>
  </w:num>
  <w:num w:numId="27" w16cid:durableId="233127081">
    <w:abstractNumId w:val="28"/>
  </w:num>
  <w:num w:numId="28" w16cid:durableId="1211922224">
    <w:abstractNumId w:val="27"/>
  </w:num>
  <w:num w:numId="29" w16cid:durableId="1520661834">
    <w:abstractNumId w:val="19"/>
  </w:num>
  <w:num w:numId="30" w16cid:durableId="40058743">
    <w:abstractNumId w:val="34"/>
  </w:num>
  <w:num w:numId="31" w16cid:durableId="1715420349">
    <w:abstractNumId w:val="38"/>
  </w:num>
  <w:num w:numId="32" w16cid:durableId="1547258791">
    <w:abstractNumId w:val="25"/>
  </w:num>
  <w:num w:numId="33" w16cid:durableId="835808434">
    <w:abstractNumId w:val="18"/>
  </w:num>
  <w:num w:numId="34" w16cid:durableId="1167210776">
    <w:abstractNumId w:val="10"/>
  </w:num>
  <w:num w:numId="35" w16cid:durableId="769157188">
    <w:abstractNumId w:val="26"/>
  </w:num>
  <w:num w:numId="36" w16cid:durableId="93869555">
    <w:abstractNumId w:val="14"/>
  </w:num>
  <w:num w:numId="37" w16cid:durableId="1328558330">
    <w:abstractNumId w:val="9"/>
  </w:num>
  <w:num w:numId="38" w16cid:durableId="813180748">
    <w:abstractNumId w:val="31"/>
  </w:num>
  <w:num w:numId="39" w16cid:durableId="2135950986">
    <w:abstractNumId w:val="39"/>
  </w:num>
  <w:num w:numId="40" w16cid:durableId="605383233">
    <w:abstractNumId w:val="24"/>
  </w:num>
  <w:num w:numId="41" w16cid:durableId="1448160925">
    <w:abstractNumId w:val="30"/>
  </w:num>
  <w:num w:numId="42" w16cid:durableId="1731807524">
    <w:abstractNumId w:val="40"/>
  </w:num>
  <w:num w:numId="43" w16cid:durableId="139161029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DB"/>
    <w:rsid w:val="000113AC"/>
    <w:rsid w:val="00015306"/>
    <w:rsid w:val="0002674B"/>
    <w:rsid w:val="000315CE"/>
    <w:rsid w:val="0004162E"/>
    <w:rsid w:val="0004786B"/>
    <w:rsid w:val="00055201"/>
    <w:rsid w:val="00055BEA"/>
    <w:rsid w:val="00063405"/>
    <w:rsid w:val="00063F27"/>
    <w:rsid w:val="00065493"/>
    <w:rsid w:val="000716A2"/>
    <w:rsid w:val="000809B9"/>
    <w:rsid w:val="00090B40"/>
    <w:rsid w:val="000925B9"/>
    <w:rsid w:val="00095A0A"/>
    <w:rsid w:val="000A4E6E"/>
    <w:rsid w:val="000B1B3D"/>
    <w:rsid w:val="000B7887"/>
    <w:rsid w:val="000C4CAF"/>
    <w:rsid w:val="000E1653"/>
    <w:rsid w:val="00121485"/>
    <w:rsid w:val="00123132"/>
    <w:rsid w:val="00125F56"/>
    <w:rsid w:val="001268B0"/>
    <w:rsid w:val="001376FC"/>
    <w:rsid w:val="001729C1"/>
    <w:rsid w:val="0018051B"/>
    <w:rsid w:val="001811EB"/>
    <w:rsid w:val="00182050"/>
    <w:rsid w:val="001826ED"/>
    <w:rsid w:val="001853E6"/>
    <w:rsid w:val="00193370"/>
    <w:rsid w:val="001B1E4A"/>
    <w:rsid w:val="001C123F"/>
    <w:rsid w:val="001C762F"/>
    <w:rsid w:val="001C78C8"/>
    <w:rsid w:val="001D27C0"/>
    <w:rsid w:val="001E74C3"/>
    <w:rsid w:val="001F6937"/>
    <w:rsid w:val="00220DE3"/>
    <w:rsid w:val="00222891"/>
    <w:rsid w:val="00234974"/>
    <w:rsid w:val="00243BA2"/>
    <w:rsid w:val="0025290D"/>
    <w:rsid w:val="00255278"/>
    <w:rsid w:val="00260372"/>
    <w:rsid w:val="00262DAF"/>
    <w:rsid w:val="00280AFB"/>
    <w:rsid w:val="00281420"/>
    <w:rsid w:val="00285AED"/>
    <w:rsid w:val="002B4B05"/>
    <w:rsid w:val="002D1DF6"/>
    <w:rsid w:val="002E2442"/>
    <w:rsid w:val="002F0E8C"/>
    <w:rsid w:val="00310FA0"/>
    <w:rsid w:val="00320481"/>
    <w:rsid w:val="003250CB"/>
    <w:rsid w:val="003451CE"/>
    <w:rsid w:val="00363201"/>
    <w:rsid w:val="0037314B"/>
    <w:rsid w:val="0039063C"/>
    <w:rsid w:val="003A46A8"/>
    <w:rsid w:val="003A5013"/>
    <w:rsid w:val="003A51AA"/>
    <w:rsid w:val="003B3F6E"/>
    <w:rsid w:val="003B565A"/>
    <w:rsid w:val="003D00A1"/>
    <w:rsid w:val="004130B2"/>
    <w:rsid w:val="0041427F"/>
    <w:rsid w:val="00425395"/>
    <w:rsid w:val="004318F4"/>
    <w:rsid w:val="004509E5"/>
    <w:rsid w:val="004631EE"/>
    <w:rsid w:val="004635E5"/>
    <w:rsid w:val="00463B6B"/>
    <w:rsid w:val="004842DF"/>
    <w:rsid w:val="00486FB9"/>
    <w:rsid w:val="004C212A"/>
    <w:rsid w:val="004C2CEE"/>
    <w:rsid w:val="004D08F5"/>
    <w:rsid w:val="00500232"/>
    <w:rsid w:val="00504668"/>
    <w:rsid w:val="00511BDF"/>
    <w:rsid w:val="00512A50"/>
    <w:rsid w:val="005455E1"/>
    <w:rsid w:val="005502BD"/>
    <w:rsid w:val="00552BC1"/>
    <w:rsid w:val="005555D1"/>
    <w:rsid w:val="00556787"/>
    <w:rsid w:val="00582276"/>
    <w:rsid w:val="00594E8D"/>
    <w:rsid w:val="005B062D"/>
    <w:rsid w:val="005C2560"/>
    <w:rsid w:val="005D45AF"/>
    <w:rsid w:val="005E5696"/>
    <w:rsid w:val="005F242A"/>
    <w:rsid w:val="005F69D0"/>
    <w:rsid w:val="005F7585"/>
    <w:rsid w:val="00605759"/>
    <w:rsid w:val="0061343A"/>
    <w:rsid w:val="00630F96"/>
    <w:rsid w:val="00633D02"/>
    <w:rsid w:val="006361DB"/>
    <w:rsid w:val="00650C6C"/>
    <w:rsid w:val="00652FE6"/>
    <w:rsid w:val="0066607C"/>
    <w:rsid w:val="00667898"/>
    <w:rsid w:val="00677FE0"/>
    <w:rsid w:val="0069394F"/>
    <w:rsid w:val="00697E9A"/>
    <w:rsid w:val="006C45C2"/>
    <w:rsid w:val="006D04EF"/>
    <w:rsid w:val="006E2FB0"/>
    <w:rsid w:val="007102D2"/>
    <w:rsid w:val="00713948"/>
    <w:rsid w:val="00753A27"/>
    <w:rsid w:val="007566CA"/>
    <w:rsid w:val="0079342A"/>
    <w:rsid w:val="007A41BE"/>
    <w:rsid w:val="007B4949"/>
    <w:rsid w:val="007E2162"/>
    <w:rsid w:val="007F0BC6"/>
    <w:rsid w:val="00811C92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1AFF"/>
    <w:rsid w:val="008E6F42"/>
    <w:rsid w:val="008E7760"/>
    <w:rsid w:val="0091520F"/>
    <w:rsid w:val="00922001"/>
    <w:rsid w:val="00922281"/>
    <w:rsid w:val="00922C17"/>
    <w:rsid w:val="00942DDD"/>
    <w:rsid w:val="009516A8"/>
    <w:rsid w:val="0097705C"/>
    <w:rsid w:val="00982D83"/>
    <w:rsid w:val="00991F93"/>
    <w:rsid w:val="009F2906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C79CE"/>
    <w:rsid w:val="00AD21C3"/>
    <w:rsid w:val="00AD7E40"/>
    <w:rsid w:val="00AE2824"/>
    <w:rsid w:val="00AE5D35"/>
    <w:rsid w:val="00B02390"/>
    <w:rsid w:val="00B07734"/>
    <w:rsid w:val="00B1477A"/>
    <w:rsid w:val="00B20993"/>
    <w:rsid w:val="00B21435"/>
    <w:rsid w:val="00B35DC1"/>
    <w:rsid w:val="00B42E96"/>
    <w:rsid w:val="00B50EE6"/>
    <w:rsid w:val="00B52185"/>
    <w:rsid w:val="00B60DCB"/>
    <w:rsid w:val="00B61967"/>
    <w:rsid w:val="00B861E9"/>
    <w:rsid w:val="00B9753A"/>
    <w:rsid w:val="00BA518B"/>
    <w:rsid w:val="00BB479C"/>
    <w:rsid w:val="00BC4720"/>
    <w:rsid w:val="00BD5830"/>
    <w:rsid w:val="00BD75A2"/>
    <w:rsid w:val="00BF0493"/>
    <w:rsid w:val="00C05462"/>
    <w:rsid w:val="00C10E3F"/>
    <w:rsid w:val="00C2017A"/>
    <w:rsid w:val="00C2026B"/>
    <w:rsid w:val="00C20470"/>
    <w:rsid w:val="00C25440"/>
    <w:rsid w:val="00C30FCE"/>
    <w:rsid w:val="00C32A99"/>
    <w:rsid w:val="00C34B2F"/>
    <w:rsid w:val="00C4641B"/>
    <w:rsid w:val="00C4664D"/>
    <w:rsid w:val="00C6012E"/>
    <w:rsid w:val="00C63E60"/>
    <w:rsid w:val="00C6690E"/>
    <w:rsid w:val="00C703C5"/>
    <w:rsid w:val="00C805F2"/>
    <w:rsid w:val="00C8202B"/>
    <w:rsid w:val="00C87A8A"/>
    <w:rsid w:val="00C91815"/>
    <w:rsid w:val="00C957F0"/>
    <w:rsid w:val="00C96EFE"/>
    <w:rsid w:val="00CA7830"/>
    <w:rsid w:val="00CC5E40"/>
    <w:rsid w:val="00D0525A"/>
    <w:rsid w:val="00D1569F"/>
    <w:rsid w:val="00D20B1E"/>
    <w:rsid w:val="00D22462"/>
    <w:rsid w:val="00D230AC"/>
    <w:rsid w:val="00D30761"/>
    <w:rsid w:val="00D31B47"/>
    <w:rsid w:val="00D32489"/>
    <w:rsid w:val="00D3349E"/>
    <w:rsid w:val="00D45AC2"/>
    <w:rsid w:val="00D65B20"/>
    <w:rsid w:val="00D667C5"/>
    <w:rsid w:val="00D672A2"/>
    <w:rsid w:val="00D728D4"/>
    <w:rsid w:val="00D73CB8"/>
    <w:rsid w:val="00DA7591"/>
    <w:rsid w:val="00E02CA8"/>
    <w:rsid w:val="00E06219"/>
    <w:rsid w:val="00E32798"/>
    <w:rsid w:val="00E33CC8"/>
    <w:rsid w:val="00E40E11"/>
    <w:rsid w:val="00E51C91"/>
    <w:rsid w:val="00E667C1"/>
    <w:rsid w:val="00E66832"/>
    <w:rsid w:val="00E852A9"/>
    <w:rsid w:val="00EB686B"/>
    <w:rsid w:val="00EC3F88"/>
    <w:rsid w:val="00ED36D8"/>
    <w:rsid w:val="00EE6BD7"/>
    <w:rsid w:val="00F0004D"/>
    <w:rsid w:val="00F01934"/>
    <w:rsid w:val="00F0689D"/>
    <w:rsid w:val="00F63D0A"/>
    <w:rsid w:val="00F720F8"/>
    <w:rsid w:val="00FA11CA"/>
    <w:rsid w:val="00FA6A24"/>
    <w:rsid w:val="00FB01B5"/>
    <w:rsid w:val="00FB4498"/>
    <w:rsid w:val="00FC0234"/>
    <w:rsid w:val="00FC0477"/>
    <w:rsid w:val="00FC08B3"/>
    <w:rsid w:val="00FC429B"/>
    <w:rsid w:val="00FD23DD"/>
    <w:rsid w:val="00FF2B8C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F8BEB0"/>
  <w15:chartTrackingRefBased/>
  <w15:docId w15:val="{33F4F0C7-22C2-4C4B-B1F3-32D52F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99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3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3132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iPriority w:val="99"/>
    <w:unhideWhenUsed/>
    <w:rsid w:val="001231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42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42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2A"/>
    <w:rPr>
      <w:rFonts w:ascii="Segoe UI" w:hAnsi="Segoe UI" w:cs="Segoe UI"/>
      <w:color w:val="000000" w:themeColor="text1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61343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customStyle="1" w:styleId="Default">
    <w:name w:val="Default"/>
    <w:rsid w:val="001C7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60DCB"/>
    <w:rPr>
      <w:b/>
      <w:bCs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99"/>
    <w:qFormat/>
    <w:locked/>
    <w:rsid w:val="00AE5D35"/>
    <w:rPr>
      <w:color w:val="000000" w:themeColor="text1"/>
    </w:rPr>
  </w:style>
  <w:style w:type="paragraph" w:styleId="Revize">
    <w:name w:val="Revision"/>
    <w:hidden/>
    <w:uiPriority w:val="99"/>
    <w:semiHidden/>
    <w:rsid w:val="00F720F8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6891-531C-4585-9F8C-626356A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1823</Words>
  <Characters>10756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Adéla</dc:creator>
  <cp:keywords/>
  <dc:description/>
  <cp:lastModifiedBy>Mašková Adéla</cp:lastModifiedBy>
  <cp:revision>2</cp:revision>
  <cp:lastPrinted>2023-02-22T11:39:00Z</cp:lastPrinted>
  <dcterms:created xsi:type="dcterms:W3CDTF">2023-03-10T08:36:00Z</dcterms:created>
  <dcterms:modified xsi:type="dcterms:W3CDTF">2023-03-10T08:36:00Z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2023-03-10T08:36:20Z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d0a64282-6db1-4b3a-90aa-c69865cb25d2</vt:lpwstr>
  </property>
  <property fmtid="{D5CDD505-2E9C-101B-9397-08002B2CF9AE}" pid="8" name="MSIP_Label_d79dbf13-dba3-469b-a7af-e84a8c38b3fd_ContentBits">
    <vt:lpwstr>0</vt:lpwstr>
  </property>
</Properties>
</file>